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A8" w:rsidRPr="009823A8" w:rsidRDefault="009823A8" w:rsidP="009823A8">
      <w:pPr>
        <w:spacing w:before="60" w:after="0" w:line="240" w:lineRule="auto"/>
        <w:ind w:left="3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23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Государственный экзамен для магистров, обучающихся по программе</w:t>
      </w:r>
    </w:p>
    <w:p w:rsidR="009823A8" w:rsidRPr="009823A8" w:rsidRDefault="009823A8" w:rsidP="009823A8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823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«Органы государственной и муниципальной власти в Российской Федерации:</w:t>
      </w:r>
    </w:p>
    <w:p w:rsidR="009823A8" w:rsidRPr="009823A8" w:rsidRDefault="009823A8" w:rsidP="009823A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823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правовое регулирование и практика реализации»</w:t>
      </w:r>
    </w:p>
    <w:p w:rsidR="009823A8" w:rsidRPr="009823A8" w:rsidRDefault="009823A8" w:rsidP="009823A8">
      <w:pPr>
        <w:pStyle w:val="a3"/>
        <w:numPr>
          <w:ilvl w:val="0"/>
          <w:numId w:val="39"/>
        </w:num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23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Органы государственного и муниципального финансового контроля: система и общая характеристика.  </w:t>
      </w:r>
    </w:p>
    <w:p w:rsidR="009823A8" w:rsidRPr="009823A8" w:rsidRDefault="009823A8" w:rsidP="009823A8">
      <w:pPr>
        <w:pStyle w:val="a3"/>
        <w:numPr>
          <w:ilvl w:val="0"/>
          <w:numId w:val="39"/>
        </w:numPr>
        <w:spacing w:before="12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23A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Представительный орган местного самоуправления, его место в системе органов местного самоуправления, порядок образования и прекращения деятельности, состав (численный состав депутатов), акты.</w:t>
      </w:r>
    </w:p>
    <w:p w:rsidR="00D4590D" w:rsidRPr="009823A8" w:rsidRDefault="009823A8" w:rsidP="009823A8">
      <w:pPr>
        <w:pStyle w:val="a3"/>
        <w:numPr>
          <w:ilvl w:val="0"/>
          <w:numId w:val="39"/>
        </w:numPr>
      </w:pPr>
      <w:r w:rsidRPr="009823A8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Конституционно-правовая ответственность: понятие, особенности.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Система федеральных государственных органов в Российской Федерации: общая характеристика, составляющие элементы, особенности.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 Глава муниципального образования и иные должностные лица: место в системе органов местного самоуправления, характеристика правового положения.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Административное принуждение как метод государственного управления.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Системы государственных органов субъектов Российской Федерации: общая характеристика, составляющие элементы, особенности (на примере Иркутской области, Республики Бурятия, Республики Саха (Якутия) или Забайкальского края).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Правовое положение Конституционного Суда Российской Федерации как органа судебного конституционного контроля, его место в системе государственных органов. 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Конституционно-правовая ответственность муниципальных органов: нормативно-правовая основа, основания, меры.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.</w:t>
      </w:r>
      <w:r>
        <w:t>Системы органов местного самоуправления в Российской Федерации: общая характеристика, составляющие элементы, особенности (на примере различных муниципальных образований).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Правовые основы, принципы организации и деятельности Конституционного Суда Российской Федерации. 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Конституционно-правовая ответственность государственных органов субъектов Российской Федерации: нормативно-правовая основа, основания, меры.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Президент Российской Федерации: требования, предъявляемые к президенту, порядок избрания, срок полномочий.  Порядок вступления в должность. Основания и порядок прекращения полномочий Президента Российской Федерации. 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Англо-саксонская система местного самоуправления: общая характеристика.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Общая характеристика и особенности </w:t>
      </w:r>
      <w:proofErr w:type="gramStart"/>
      <w:r>
        <w:t>выборов депутатов Государственной Думы Федерального Собрания Российской Федерации</w:t>
      </w:r>
      <w:proofErr w:type="gramEnd"/>
      <w:r>
        <w:t>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Основные проблемы организации и функционирования законодательной власти в Российской Федерации.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Формирование Конституционного Суда Российской Федерации. Требования к кандидату в судьи Конституционного Суда Российской Федерации. Правовое положение судей Конституционного Суда. Председатель Конституционного Суда, его статус.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Контрольно-счетный орган муниципального образования как постоянно действующий орган внешнего муниципального финансового контроля.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Федеральное Собрание Российской Федерации – парламент Российской Федерации: порядок формирования, структура, полномочия, акты.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Акты Конституционного Суда Российской Федерации, их виды. Постановления Конституционного Суда Российской Федерации, их юридическое значение.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lastRenderedPageBreak/>
        <w:t>Контрольно-счетный орган субъекта Российской Федерации как постоянно действующий орган внешнего государственного финансового контроля.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Новеллы российского избирательного законодательства.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 Взаимодействие Президента Российской Федерации с органами исполнительной власти.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Европейская (континентальная) система местного самоуправления: общая характеристика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Судебная система Российской Федерации: понятие, структура, принципы построения.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Обеспечение деятельности Президента Российской Федерации. Органы при Президенте Российской Федерации. Администрация Президента Российской Федерации. 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Общая характеристика и особенности муниципальных выборов в Российской Федерации.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Место законодательных органов в системе органов государственной власти в Российской Федерации. 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Взаимодействие Президента Российской Федерации с органами государственной власти субъектов Российской Федерации.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 xml:space="preserve"> Сущность и значение ответственности в системе организации и функционирования публично-правовых структур.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Принципы и стадии законодательного процесса.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Взаимодействие Президента Российской Федерации с органами судебной власти, прокуратуры, избирательными комиссиями.</w:t>
      </w:r>
    </w:p>
    <w:p w:rsidR="009823A8" w:rsidRDefault="009823A8" w:rsidP="009823A8">
      <w:pPr>
        <w:pStyle w:val="a3"/>
        <w:numPr>
          <w:ilvl w:val="0"/>
          <w:numId w:val="39"/>
        </w:numPr>
      </w:pPr>
      <w:r>
        <w:t>Счетная палата Российской Федерации как постоянно действующий высший орган внешнего государственного аудита (контроля).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Место исполнительной власти в системе государственной власти: понятие, признаки, функции. Соотношение понятий «исполнительная власть» и «государственное управление».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Общая характеристика и особенности выборов Президента Российской Федерации.</w:t>
      </w:r>
    </w:p>
    <w:p w:rsidR="009823A8" w:rsidRDefault="00A15BE9" w:rsidP="00A15BE9">
      <w:pPr>
        <w:pStyle w:val="a3"/>
        <w:numPr>
          <w:ilvl w:val="0"/>
          <w:numId w:val="39"/>
        </w:numPr>
      </w:pPr>
      <w:r>
        <w:t>Государственные и муниципальные органы, уполномоченные на рассмотрение жалоб.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Система органов исполнительной власти Российской Федерации: понятие, структура и принципы организации.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Основные полномочия Конституционного Суда Российской Федерации как органа судебного конституционного контроля: общая характеристика.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 Общая характеристика и особенности выборов депутатов законодательного (представительного) органа субъектов Российской Федерации.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Полномочия Президента Российской Федерации: общая характеристика.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Правовое положение  депутата законодательного органа субъекта Российской Федерации.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Действия (бездействие), решения государственных и муниципальных органов, как предмет обжалования.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Методы государственного управления (исполнительно-распорядительной деятельности): понятие и виды.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Правовое положение члена Совета Федерации и депутата Государственной Думы Федерального Собрания Российской Федерации.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 Судебный порядок рассмотрения жалоб на действия (бездействие), решения государственных и муниципальных органов.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Понятие и доктрины местного самоуправления.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lastRenderedPageBreak/>
        <w:t>Взаимодействие Президента Российской Федерации с Федеральным Собранием Российской Федерации. Участие Президента Российской Федерации в законодательном процессе.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 Конституционно-правовая ответственность федеральных государственных органов: нормативно-правовая основа, основания, меры.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Административное правотворчество как форма государственного управления (исполнительно-распорядительной деятельности).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Место местного самоуправления в системе социального управления. Понятие муниципальной власти.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Парламентский финансовый контроль в Российской Федерации: правовое регулирование, проблемы и перспективы.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Институты непосредственной демократии в системе местного самоуправления.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Формы работы палат Федерального Собрания Российской Федерации, взаимодействие с иными федеральными органами государственной власти и органами государственной власти субъектов Российской Федерации.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Методы и способы обеспечения законности в деятельности органов исполнительной власти.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Органы государственного и муниципального финансового контроля: система и общая характеристика.  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Представительный орган местного самоуправления, его место в системе органов местного самоуправления, порядок образования и прекращения деятельности, состав (численный состав депутатов), акты.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 xml:space="preserve"> Конституционно-правовая ответственность: понятие, особенности.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Законодательный процесс в Российской Федерации: понятие в узком и широком смысле. Правовое регулирование законодательного процесса в Российской Федерации.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Общая характеристика и особенности выборов глав субъектов Российской Федерации.</w:t>
      </w:r>
    </w:p>
    <w:p w:rsidR="00A15BE9" w:rsidRDefault="00A15BE9" w:rsidP="00A15BE9">
      <w:pPr>
        <w:pStyle w:val="a3"/>
        <w:numPr>
          <w:ilvl w:val="0"/>
          <w:numId w:val="39"/>
        </w:numPr>
      </w:pPr>
      <w:r>
        <w:t>Административный порядок рассмотрения жалоб на действия (бездействие), решения государственных и муниципальных органов.</w:t>
      </w:r>
    </w:p>
    <w:p w:rsidR="00A15BE9" w:rsidRPr="00D4590D" w:rsidRDefault="00A15BE9" w:rsidP="00A15BE9">
      <w:pPr>
        <w:pStyle w:val="a3"/>
        <w:ind w:left="1080"/>
      </w:pPr>
      <w:bookmarkStart w:id="0" w:name="_GoBack"/>
      <w:bookmarkEnd w:id="0"/>
    </w:p>
    <w:sectPr w:rsidR="00A15BE9" w:rsidRPr="00D4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3FD8"/>
    <w:multiLevelType w:val="hybridMultilevel"/>
    <w:tmpl w:val="E0D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67AB"/>
    <w:multiLevelType w:val="hybridMultilevel"/>
    <w:tmpl w:val="93AA4E5C"/>
    <w:lvl w:ilvl="0" w:tplc="2938C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25C6"/>
    <w:multiLevelType w:val="hybridMultilevel"/>
    <w:tmpl w:val="F7D2D436"/>
    <w:lvl w:ilvl="0" w:tplc="9E8CF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100"/>
    <w:multiLevelType w:val="hybridMultilevel"/>
    <w:tmpl w:val="A746BC8A"/>
    <w:lvl w:ilvl="0" w:tplc="7D603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F6B3F"/>
    <w:multiLevelType w:val="hybridMultilevel"/>
    <w:tmpl w:val="33C0BA52"/>
    <w:lvl w:ilvl="0" w:tplc="4F54A1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6FFF"/>
    <w:multiLevelType w:val="hybridMultilevel"/>
    <w:tmpl w:val="7B68A33C"/>
    <w:lvl w:ilvl="0" w:tplc="0A44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0DD0"/>
    <w:multiLevelType w:val="hybridMultilevel"/>
    <w:tmpl w:val="8A88F148"/>
    <w:lvl w:ilvl="0" w:tplc="77FEA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D0C00"/>
    <w:multiLevelType w:val="hybridMultilevel"/>
    <w:tmpl w:val="F9B64378"/>
    <w:lvl w:ilvl="0" w:tplc="87CC0B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77E89"/>
    <w:multiLevelType w:val="hybridMultilevel"/>
    <w:tmpl w:val="9008FDEA"/>
    <w:lvl w:ilvl="0" w:tplc="BB3EC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02A0F"/>
    <w:multiLevelType w:val="hybridMultilevel"/>
    <w:tmpl w:val="A9C680F6"/>
    <w:lvl w:ilvl="0" w:tplc="4B06A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73C"/>
    <w:multiLevelType w:val="hybridMultilevel"/>
    <w:tmpl w:val="E08AA7C4"/>
    <w:lvl w:ilvl="0" w:tplc="4AC6F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925AD"/>
    <w:multiLevelType w:val="hybridMultilevel"/>
    <w:tmpl w:val="71927E52"/>
    <w:lvl w:ilvl="0" w:tplc="7AB27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AF8"/>
    <w:multiLevelType w:val="hybridMultilevel"/>
    <w:tmpl w:val="BDCE26D6"/>
    <w:lvl w:ilvl="0" w:tplc="6CFA2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B7871"/>
    <w:multiLevelType w:val="hybridMultilevel"/>
    <w:tmpl w:val="8390C176"/>
    <w:lvl w:ilvl="0" w:tplc="DF8C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660B8"/>
    <w:multiLevelType w:val="hybridMultilevel"/>
    <w:tmpl w:val="2D5209CE"/>
    <w:lvl w:ilvl="0" w:tplc="DA6A8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7D0"/>
    <w:multiLevelType w:val="hybridMultilevel"/>
    <w:tmpl w:val="7DBE4E26"/>
    <w:lvl w:ilvl="0" w:tplc="0B700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E52D3"/>
    <w:multiLevelType w:val="hybridMultilevel"/>
    <w:tmpl w:val="7BF00560"/>
    <w:lvl w:ilvl="0" w:tplc="0B700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E3C0B"/>
    <w:multiLevelType w:val="hybridMultilevel"/>
    <w:tmpl w:val="96AE2378"/>
    <w:lvl w:ilvl="0" w:tplc="F4B6A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86233"/>
    <w:multiLevelType w:val="hybridMultilevel"/>
    <w:tmpl w:val="29483554"/>
    <w:lvl w:ilvl="0" w:tplc="E1AC0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35176"/>
    <w:multiLevelType w:val="hybridMultilevel"/>
    <w:tmpl w:val="65E0C776"/>
    <w:lvl w:ilvl="0" w:tplc="021AF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0489E"/>
    <w:multiLevelType w:val="hybridMultilevel"/>
    <w:tmpl w:val="C1C8C234"/>
    <w:lvl w:ilvl="0" w:tplc="654C6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B14CF"/>
    <w:multiLevelType w:val="hybridMultilevel"/>
    <w:tmpl w:val="BC00F9EA"/>
    <w:lvl w:ilvl="0" w:tplc="48A4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D2556"/>
    <w:multiLevelType w:val="hybridMultilevel"/>
    <w:tmpl w:val="6BC4B52E"/>
    <w:lvl w:ilvl="0" w:tplc="64C8C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1404"/>
    <w:multiLevelType w:val="hybridMultilevel"/>
    <w:tmpl w:val="B29476F4"/>
    <w:lvl w:ilvl="0" w:tplc="B6463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D0CC9"/>
    <w:multiLevelType w:val="hybridMultilevel"/>
    <w:tmpl w:val="5650BE20"/>
    <w:lvl w:ilvl="0" w:tplc="6DB07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212B5"/>
    <w:multiLevelType w:val="hybridMultilevel"/>
    <w:tmpl w:val="BD560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9C1673"/>
    <w:multiLevelType w:val="hybridMultilevel"/>
    <w:tmpl w:val="1B2A6BF2"/>
    <w:lvl w:ilvl="0" w:tplc="E7BE0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63D72"/>
    <w:multiLevelType w:val="hybridMultilevel"/>
    <w:tmpl w:val="E324647A"/>
    <w:lvl w:ilvl="0" w:tplc="6DB63FB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A073D"/>
    <w:multiLevelType w:val="hybridMultilevel"/>
    <w:tmpl w:val="9C1421E2"/>
    <w:lvl w:ilvl="0" w:tplc="37B8D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63C49"/>
    <w:multiLevelType w:val="hybridMultilevel"/>
    <w:tmpl w:val="D8A2632E"/>
    <w:lvl w:ilvl="0" w:tplc="49A21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61718"/>
    <w:multiLevelType w:val="hybridMultilevel"/>
    <w:tmpl w:val="AED49470"/>
    <w:lvl w:ilvl="0" w:tplc="434A02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045E2"/>
    <w:multiLevelType w:val="hybridMultilevel"/>
    <w:tmpl w:val="CDF027E4"/>
    <w:lvl w:ilvl="0" w:tplc="3264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26188"/>
    <w:multiLevelType w:val="hybridMultilevel"/>
    <w:tmpl w:val="C464E612"/>
    <w:lvl w:ilvl="0" w:tplc="28941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34957"/>
    <w:multiLevelType w:val="hybridMultilevel"/>
    <w:tmpl w:val="9CB0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8291A"/>
    <w:multiLevelType w:val="hybridMultilevel"/>
    <w:tmpl w:val="57BC4664"/>
    <w:lvl w:ilvl="0" w:tplc="C7ACA8F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539C5"/>
    <w:multiLevelType w:val="hybridMultilevel"/>
    <w:tmpl w:val="286C0C56"/>
    <w:lvl w:ilvl="0" w:tplc="2890A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46AF9"/>
    <w:multiLevelType w:val="hybridMultilevel"/>
    <w:tmpl w:val="B6E281DC"/>
    <w:lvl w:ilvl="0" w:tplc="0B700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A17CE"/>
    <w:multiLevelType w:val="hybridMultilevel"/>
    <w:tmpl w:val="548C1558"/>
    <w:lvl w:ilvl="0" w:tplc="00309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D717D"/>
    <w:multiLevelType w:val="hybridMultilevel"/>
    <w:tmpl w:val="09A210C4"/>
    <w:lvl w:ilvl="0" w:tplc="D45A1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1"/>
  </w:num>
  <w:num w:numId="4">
    <w:abstractNumId w:val="9"/>
  </w:num>
  <w:num w:numId="5">
    <w:abstractNumId w:val="7"/>
  </w:num>
  <w:num w:numId="6">
    <w:abstractNumId w:val="26"/>
  </w:num>
  <w:num w:numId="7">
    <w:abstractNumId w:val="30"/>
  </w:num>
  <w:num w:numId="8">
    <w:abstractNumId w:val="28"/>
  </w:num>
  <w:num w:numId="9">
    <w:abstractNumId w:val="10"/>
  </w:num>
  <w:num w:numId="10">
    <w:abstractNumId w:val="23"/>
  </w:num>
  <w:num w:numId="11">
    <w:abstractNumId w:val="19"/>
  </w:num>
  <w:num w:numId="12">
    <w:abstractNumId w:val="37"/>
  </w:num>
  <w:num w:numId="13">
    <w:abstractNumId w:val="6"/>
  </w:num>
  <w:num w:numId="14">
    <w:abstractNumId w:val="2"/>
  </w:num>
  <w:num w:numId="15">
    <w:abstractNumId w:val="29"/>
  </w:num>
  <w:num w:numId="16">
    <w:abstractNumId w:val="21"/>
  </w:num>
  <w:num w:numId="17">
    <w:abstractNumId w:val="4"/>
  </w:num>
  <w:num w:numId="18">
    <w:abstractNumId w:val="22"/>
  </w:num>
  <w:num w:numId="19">
    <w:abstractNumId w:val="32"/>
  </w:num>
  <w:num w:numId="20">
    <w:abstractNumId w:val="14"/>
  </w:num>
  <w:num w:numId="21">
    <w:abstractNumId w:val="13"/>
  </w:num>
  <w:num w:numId="22">
    <w:abstractNumId w:val="1"/>
  </w:num>
  <w:num w:numId="23">
    <w:abstractNumId w:val="35"/>
  </w:num>
  <w:num w:numId="24">
    <w:abstractNumId w:val="20"/>
  </w:num>
  <w:num w:numId="25">
    <w:abstractNumId w:val="34"/>
  </w:num>
  <w:num w:numId="26">
    <w:abstractNumId w:val="5"/>
  </w:num>
  <w:num w:numId="27">
    <w:abstractNumId w:val="8"/>
  </w:num>
  <w:num w:numId="28">
    <w:abstractNumId w:val="18"/>
  </w:num>
  <w:num w:numId="29">
    <w:abstractNumId w:val="17"/>
  </w:num>
  <w:num w:numId="30">
    <w:abstractNumId w:val="27"/>
  </w:num>
  <w:num w:numId="31">
    <w:abstractNumId w:val="12"/>
  </w:num>
  <w:num w:numId="32">
    <w:abstractNumId w:val="3"/>
  </w:num>
  <w:num w:numId="33">
    <w:abstractNumId w:val="38"/>
  </w:num>
  <w:num w:numId="34">
    <w:abstractNumId w:val="24"/>
  </w:num>
  <w:num w:numId="35">
    <w:abstractNumId w:val="11"/>
  </w:num>
  <w:num w:numId="36">
    <w:abstractNumId w:val="36"/>
  </w:num>
  <w:num w:numId="37">
    <w:abstractNumId w:val="16"/>
  </w:num>
  <w:num w:numId="38">
    <w:abstractNumId w:val="1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0D"/>
    <w:rsid w:val="00064553"/>
    <w:rsid w:val="00200520"/>
    <w:rsid w:val="009823A8"/>
    <w:rsid w:val="00A15BE9"/>
    <w:rsid w:val="00D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ЮИ ИГУ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2</cp:revision>
  <dcterms:created xsi:type="dcterms:W3CDTF">2018-02-06T05:38:00Z</dcterms:created>
  <dcterms:modified xsi:type="dcterms:W3CDTF">2018-02-06T05:38:00Z</dcterms:modified>
</cp:coreProperties>
</file>